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佛山市慈善会选定创益合伙人计划</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第三方执行机构管理办法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为更好开展佛山市慈善会创益合伙人工作，规范对第三方执行机构的选择、监督和管理，特此制定本办法。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本办法中的第三方执行机构是指由佛山市慈善会委托实施创益合伙人计划中的顾问咨询、评审评估和跟进监督等服务的社会服务机构。相关要求如下：</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黑体" w:hAnsi="黑体" w:eastAsia="黑体" w:cs="黑体"/>
          <w:b w:val="0"/>
          <w:bCs/>
          <w:color w:val="auto"/>
          <w:sz w:val="32"/>
          <w:lang w:val="en-US" w:eastAsia="zh-CN"/>
        </w:rPr>
      </w:pPr>
      <w:r>
        <w:rPr>
          <w:rFonts w:hint="eastAsia" w:ascii="黑体" w:hAnsi="黑体" w:eastAsia="黑体" w:cs="黑体"/>
          <w:b w:val="0"/>
          <w:bCs/>
          <w:color w:val="auto"/>
          <w:sz w:val="32"/>
          <w:lang w:val="en-US" w:eastAsia="zh-CN"/>
        </w:rPr>
        <w:t>一、机构资质</w:t>
      </w:r>
    </w:p>
    <w:p>
      <w:pPr>
        <w:keepNext w:val="0"/>
        <w:keepLines w:val="0"/>
        <w:pageBreakBefore w:val="0"/>
        <w:numPr>
          <w:ilvl w:val="0"/>
          <w:numId w:val="0"/>
        </w:numPr>
        <w:kinsoku/>
        <w:overflowPunct/>
        <w:topLinePunct w:val="0"/>
        <w:autoSpaceDE/>
        <w:autoSpaceDN/>
        <w:bidi w:val="0"/>
        <w:adjustRightInd/>
        <w:spacing w:beforeLines="0" w:afterLines="0" w:line="560" w:lineRule="exact"/>
        <w:ind w:left="0" w:lef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（一）具有独立法人资格；</w:t>
      </w:r>
    </w:p>
    <w:p>
      <w:pPr>
        <w:keepNext w:val="0"/>
        <w:keepLines w:val="0"/>
        <w:pageBreakBefore w:val="0"/>
        <w:numPr>
          <w:ilvl w:val="0"/>
          <w:numId w:val="0"/>
        </w:numPr>
        <w:kinsoku/>
        <w:overflowPunct/>
        <w:topLinePunct w:val="0"/>
        <w:autoSpaceDE/>
        <w:autoSpaceDN/>
        <w:bidi w:val="0"/>
        <w:adjustRightInd/>
        <w:spacing w:beforeLines="0" w:afterLines="0"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成立</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年时间以上；</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具有相对固定的办公场所、专门工作人员、健全的内部规章制度，依照章程开展活动；</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三年内无年检不合格、无违法记录和重大信用不良记录；</w:t>
      </w:r>
    </w:p>
    <w:p>
      <w:pPr>
        <w:keepNext w:val="0"/>
        <w:keepLines w:val="0"/>
        <w:pageBreakBefore w:val="0"/>
        <w:kinsoku/>
        <w:overflowPunct/>
        <w:topLinePunct w:val="0"/>
        <w:autoSpaceDE/>
        <w:autoSpaceDN/>
        <w:bidi w:val="0"/>
        <w:adjustRightInd/>
        <w:spacing w:beforeLines="0" w:afterLines="0"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上一年度没有完成项目和项目绩效考核情况为</w:t>
      </w:r>
      <w:r>
        <w:rPr>
          <w:rFonts w:hint="eastAsia" w:ascii="楷体_GB2312" w:hAnsi="楷体_GB2312" w:eastAsia="楷体_GB2312" w:cs="楷体_GB2312"/>
          <w:sz w:val="32"/>
          <w:szCs w:val="32"/>
          <w:lang w:eastAsia="zh-CN"/>
        </w:rPr>
        <w:t>良</w:t>
      </w:r>
      <w:r>
        <w:rPr>
          <w:rFonts w:hint="eastAsia" w:ascii="楷体_GB2312" w:hAnsi="楷体_GB2312" w:eastAsia="楷体_GB2312" w:cs="楷体_GB2312"/>
          <w:sz w:val="32"/>
          <w:szCs w:val="32"/>
        </w:rPr>
        <w:t>等的社会组织，下一年度不能</w:t>
      </w:r>
      <w:r>
        <w:rPr>
          <w:rFonts w:hint="eastAsia" w:ascii="楷体_GB2312" w:hAnsi="楷体_GB2312" w:eastAsia="楷体_GB2312" w:cs="楷体_GB2312"/>
          <w:sz w:val="32"/>
          <w:szCs w:val="32"/>
          <w:lang w:eastAsia="zh-CN"/>
        </w:rPr>
        <w:t>成为第三方执行机构</w:t>
      </w:r>
      <w:r>
        <w:rPr>
          <w:rFonts w:hint="eastAsia" w:ascii="楷体_GB2312" w:hAnsi="楷体_GB2312" w:eastAsia="楷体_GB2312" w:cs="楷体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（六）拥有相关专家资源库，其中正高职称不低于2人，副高职称不低于5人，社会组织和企业主要负责人不低于20人；</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（七）具有相关公益创投或政府购买服务等工作经验；</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（八）熟悉佛山市公益慈善事业发展情况。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638" w:leftChars="304" w:right="1284" w:rightChars="0" w:firstLine="220" w:firstLineChars="69"/>
        <w:jc w:val="left"/>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二、工作职责</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对创益合伙人计划资助项目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1.开展评审、评估工作；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2.进行跟踪管理、监督实施，提供服务支持；</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3.开展培训、交流活动；</w:t>
      </w:r>
    </w:p>
    <w:p>
      <w:pPr>
        <w:keepNext w:val="0"/>
        <w:keepLines w:val="0"/>
        <w:pageBreakBefore w:val="0"/>
        <w:widowControl w:val="0"/>
        <w:numPr>
          <w:ilvl w:val="0"/>
          <w:numId w:val="2"/>
        </w:numPr>
        <w:kinsoku/>
        <w:wordWrap/>
        <w:overflowPunct/>
        <w:topLinePunct w:val="0"/>
        <w:autoSpaceDE/>
        <w:autoSpaceDN/>
        <w:bidi w:val="0"/>
        <w:adjustRightInd/>
        <w:snapToGrid w:val="0"/>
        <w:spacing w:beforeLines="0" w:afterLines="0" w:line="560" w:lineRule="exact"/>
        <w:ind w:left="0" w:leftChars="0" w:right="1284" w:firstLine="640" w:firstLineChars="200"/>
        <w:jc w:val="left"/>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对主办方</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1.协助开展创益合伙人评审评估工作；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2.提供顾问咨询服务，规范和完善创益合伙人计划；</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3.定期汇报项目进展情况，及时对资助项目出现的问题进行反馈；</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1284"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4.撰写总结报告；</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right="1284"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5.其他主办方交代的工作任务。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638" w:leftChars="304" w:right="1284" w:rightChars="0" w:firstLine="220" w:firstLineChars="69"/>
        <w:jc w:val="left"/>
        <w:textAlignment w:val="auto"/>
        <w:outlineLvl w:val="9"/>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三、机构选定</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（一）每年2月份由佛山市慈善会向社会征集当年创益合伙人的第三方执行机构；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（二）每年3月份由佛山市慈善会秘书处组织评审会议评审，报会长办公会议审批决定合作的第三方执行机构。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638" w:leftChars="304" w:right="1284" w:rightChars="0" w:firstLine="220" w:firstLineChars="69"/>
        <w:jc w:val="left"/>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四、机构需提交资料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（一）社会组织登记证书或营业执照；</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（二）工作人员、工作场所的相关内部制度文件等；</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（三）相关业绩和工作报告等；</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（四）报价明细；</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（五）提供专家库成员的证明材料；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（六）其他相关证明材料。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五、出现下列情况之一的，本会将终止合作关系</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（一）机构在协议签署后的两个月内未开展服务，且未向本会提交项目延期申请的；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91" w:firstLineChars="216"/>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（二）服务在实施过程中出现严重超支或资金使用与预算有较大出入（占总捐赠金额的10%及以上），导致服务无法进行的；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（三）机构擅自调整服务内容，导致服务执行情况与协议合同有较大区别，且未按要求进行整改的；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（四）服务执行期内，受捐赠机构被本会处以书面警告累计两次或被相关行政主管部门通报批评的；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（五）服务执行过程中，出现对本会声誉造成不良社会影响的其他情况的。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六、附则</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本办法由佛山市慈善会负责解释，办法自公布之日起施行。</w:t>
      </w:r>
    </w:p>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sz w:val="28"/>
                            </w:rPr>
                          </w:pPr>
                          <w:r>
                            <w:rPr>
                              <w:rStyle w:val="4"/>
                              <w:rFonts w:hint="eastAsia" w:ascii="宋体" w:hAnsi="宋体" w:eastAsia="宋体"/>
                              <w:sz w:val="28"/>
                            </w:rPr>
                            <w:t xml:space="preserve">— </w:t>
                          </w:r>
                          <w:r>
                            <w:rPr>
                              <w:rFonts w:hint="eastAsia" w:ascii="宋体" w:hAnsi="宋体" w:eastAsia="宋体"/>
                              <w:sz w:val="28"/>
                            </w:rPr>
                            <w:fldChar w:fldCharType="begin"/>
                          </w:r>
                          <w:r>
                            <w:rPr>
                              <w:rStyle w:val="4"/>
                              <w:rFonts w:hint="eastAsia" w:ascii="宋体" w:hAnsi="宋体" w:eastAsia="宋体"/>
                              <w:sz w:val="28"/>
                            </w:rPr>
                            <w:instrText xml:space="preserve">PAGE  </w:instrText>
                          </w:r>
                          <w:r>
                            <w:rPr>
                              <w:rFonts w:hint="eastAsia" w:ascii="宋体" w:hAnsi="宋体" w:eastAsia="宋体"/>
                              <w:sz w:val="28"/>
                            </w:rPr>
                            <w:fldChar w:fldCharType="separate"/>
                          </w:r>
                          <w:r>
                            <w:rPr>
                              <w:rStyle w:val="4"/>
                              <w:rFonts w:hint="eastAsia" w:ascii="宋体" w:hAnsi="宋体" w:eastAsia="宋体"/>
                              <w:sz w:val="28"/>
                            </w:rPr>
                            <w:t>2</w:t>
                          </w:r>
                          <w:r>
                            <w:rPr>
                              <w:rFonts w:hint="eastAsia" w:ascii="宋体" w:hAnsi="宋体" w:eastAsia="宋体"/>
                              <w:sz w:val="28"/>
                            </w:rPr>
                            <w:fldChar w:fldCharType="end"/>
                          </w:r>
                          <w:r>
                            <w:rPr>
                              <w:rStyle w:val="4"/>
                              <w:rFonts w:hint="eastAsia" w:ascii="宋体" w:hAnsi="宋体" w:eastAsia="宋体"/>
                              <w:sz w:val="28"/>
                            </w:rPr>
                            <w:t xml:space="preserve"> —</w:t>
                          </w:r>
                        </w:p>
                        <w:p>
                          <w:pPr>
                            <w:pStyle w:val="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Style w:val="4"/>
                        <w:rFonts w:hint="eastAsia"/>
                        <w:sz w:val="28"/>
                      </w:rPr>
                    </w:pPr>
                    <w:r>
                      <w:rPr>
                        <w:rStyle w:val="4"/>
                        <w:rFonts w:hint="eastAsia" w:ascii="宋体" w:hAnsi="宋体" w:eastAsia="宋体"/>
                        <w:sz w:val="28"/>
                      </w:rPr>
                      <w:t xml:space="preserve">— </w:t>
                    </w:r>
                    <w:r>
                      <w:rPr>
                        <w:rFonts w:hint="eastAsia" w:ascii="宋体" w:hAnsi="宋体" w:eastAsia="宋体"/>
                        <w:sz w:val="28"/>
                      </w:rPr>
                      <w:fldChar w:fldCharType="begin"/>
                    </w:r>
                    <w:r>
                      <w:rPr>
                        <w:rStyle w:val="4"/>
                        <w:rFonts w:hint="eastAsia" w:ascii="宋体" w:hAnsi="宋体" w:eastAsia="宋体"/>
                        <w:sz w:val="28"/>
                      </w:rPr>
                      <w:instrText xml:space="preserve">PAGE  </w:instrText>
                    </w:r>
                    <w:r>
                      <w:rPr>
                        <w:rFonts w:hint="eastAsia" w:ascii="宋体" w:hAnsi="宋体" w:eastAsia="宋体"/>
                        <w:sz w:val="28"/>
                      </w:rPr>
                      <w:fldChar w:fldCharType="separate"/>
                    </w:r>
                    <w:r>
                      <w:rPr>
                        <w:rStyle w:val="4"/>
                        <w:rFonts w:hint="eastAsia" w:ascii="宋体" w:hAnsi="宋体" w:eastAsia="宋体"/>
                        <w:sz w:val="28"/>
                      </w:rPr>
                      <w:t>2</w:t>
                    </w:r>
                    <w:r>
                      <w:rPr>
                        <w:rFonts w:hint="eastAsia" w:ascii="宋体" w:hAnsi="宋体" w:eastAsia="宋体"/>
                        <w:sz w:val="28"/>
                      </w:rPr>
                      <w:fldChar w:fldCharType="end"/>
                    </w:r>
                    <w:r>
                      <w:rPr>
                        <w:rStyle w:val="4"/>
                        <w:rFonts w:hint="eastAsia" w:ascii="宋体" w:hAnsi="宋体" w:eastAsia="宋体"/>
                        <w:sz w:val="28"/>
                      </w:rPr>
                      <w:t xml:space="preserve"> —</w:t>
                    </w:r>
                  </w:p>
                  <w:p>
                    <w:pPr>
                      <w:pStyle w:val="2"/>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BF7F"/>
    <w:multiLevelType w:val="singleLevel"/>
    <w:tmpl w:val="58F5BF7F"/>
    <w:lvl w:ilvl="0" w:tentative="0">
      <w:start w:val="1"/>
      <w:numFmt w:val="chineseCounting"/>
      <w:suff w:val="nothing"/>
      <w:lvlText w:val="（%1）"/>
      <w:lvlJc w:val="left"/>
    </w:lvl>
  </w:abstractNum>
  <w:abstractNum w:abstractNumId="1">
    <w:nsid w:val="58F5C44E"/>
    <w:multiLevelType w:val="singleLevel"/>
    <w:tmpl w:val="58F5C44E"/>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51240"/>
    <w:rsid w:val="08510226"/>
    <w:rsid w:val="390512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beforeLines="0" w:afterLines="0"/>
      <w:jc w:val="left"/>
    </w:pPr>
    <w:rPr>
      <w:rFonts w:hint="default"/>
      <w:sz w:val="18"/>
    </w:rPr>
  </w:style>
  <w:style w:type="character" w:styleId="4">
    <w:name w:val="page number"/>
    <w:basedOn w:val="3"/>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2018-04-16T06:38:00Z</dcterms:created>
  <dc:creator>Administrator</dc:creator>
  <cp:lastModifiedBy>Administrator</cp:lastModifiedBy>
  <dcterms:modified xsi:type="dcterms:W3CDTF">2018-04-16T09:04:16Z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